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427 vom 26. November 1992</w:t>
      </w:r>
    </w:p>
    <w:p>
      <w:r>
        <w:t>Bundesgericht (BGE), 1992-11-26, DE</w:t>
      </w:r>
    </w:p>
    <w:p>
      <w:r>
        <w:rPr>
          <w:b/>
        </w:rPr>
        <w:t xml:space="preserve">Quelle: </w:t>
      </w:r>
      <w:r>
        <w:t>https://mcp.opencaselaw.ch/entscheid/bge_118 IA 427</w:t>
      </w:r>
    </w:p>
    <w:p>
      <w:r>
        <w:t>FR: BGE 118 IA 427 du 26 novembre 1992</w:t>
      </w:r>
    </w:p>
    <w:p>
      <w:r>
        <w:t>IT: BGE 118 IA 427 del 26 novembre 1992</w:t>
      </w:r>
    </w:p>
    <w:p>
      <w:pPr>
        <w:pStyle w:val="Heading2"/>
      </w:pPr>
      <w:r>
        <w:t>Regeste</w:t>
      </w:r>
    </w:p>
    <w:p>
      <w:r>
        <w:t>Regeste Abstrakte Normenkontrolle. Kantonales Schulzahnpflegegesetz, das eine zahnmedizinische Zwangsbehandlung vorsieht. Persönliche Freiheit, Art. 8 EMRK sowie Art. 2 ÜbBest. BV. 1. Virtuelle Betroffenheit als Voraussetzung zur Erhebung einer staatsrechtlichen Beschwerde gegen einen kantonalen Erlass (E. 2). 2. Kognition des Bundesgerichts bei der abstrakten Normenkontrolle (E. 3b). 3. Wieweit schützen das ungeschriebene verfassungsmässige Recht der persönlichen Freiheit und das Grundrecht auf Achtung des Privat- und Familienlebens nach Art. 8 EMRK vor zahnmedizinischen Zwangsbehandlungen? Schutzbereich (E. 4) und Eingriffsvoraussetzungen (E. 5), insb. Erforderlichkeit des überwiegenden öffentlichen Interesses und der Verhältnismässigkeit (E. 6 und E. 7). 4. Zulässigkeit weiterer Bestimmungen, die mit der Behandlungspflicht in Zusammenhang stehen (E. 8). 5. Vereinbarkeit der Regelung mit dem Bundesrecht (E. 9).</w:t>
      </w:r>
    </w:p>
    <w:p>
      <w:pPr>
        <w:pStyle w:val="Heading2"/>
      </w:pPr>
      <w:r>
        <w:t>Erwägungen</w:t>
      </w:r>
    </w:p>
    <w:p>
      <w:r>
        <w:rPr>
          <w:b/>
        </w:rPr>
        <w:t>E. 2</w:t>
      </w:r>
    </w:p>
    <w:p>
      <w:r>
        <w:t>a) Nach Art. 88 OG steht die Legitimation zur Erhebung einer staatsrechtlichen Beschwerde den Bürgern bezüglich solcher Rechtsverletzungen zu, die sie durch allgemein verbindliche oder sie persönlich treffende Erlasse oder Verfügungen erlitten haben. Zur Anfechtung eines allgemeinverbindlichen Erlasses wegen Verletzung verfassungsmässiger Rechte ( Art. 84 Abs. 1 lit. a OG ) im besonderen ist nur legitimiert, wer durch den Erlass unmittelbar oder zumindest virtuell in seiner rechtlich geschützten Stellung betroffen ist ( BGE 114 Ia 223 E. 1b mit Hinweis); die Popularbeschwerde ist ausgeschlossen. Es genügt somit nicht, dass der Beschwerdeführer BGE 118 Ia 427 S. 431 vom Erlass in bloss faktischen Interessen berührt ist oder Beschwerde zur Wahrung von rein öffentlichen, allgemeinen Interessen erhebt. Vielmehr muss wenigstens eine minimale Wahrscheinlichkeit gegeben sein, dass er durch den angefochtenen Erlass früher oder später einmal in seinen rechtlich geschützten Interessen betroffen werden könnte ( BGE 114 Ia 223 E. 1b und 399 f. E. b; 112 Ia 32 E. 2a). In der Regel trifft dies zu, wenn der Beschwerdeführer der Territorialhoheit des Kantons untersteht, dessen Erlass er anficht, das heisst wenn er im Kanton selbst wohnt. Eine Ausnahme gilt bei Regelungen, die auch Nichtkantonseinwohner erfassen können; dies ist zum Beispiel der Fall, wenn nicht im Kanton wohnhafte Personen in der Ausübung einer Aktivität oder durch Belastungen von Vermögen beziehungsweise Beschränkungen von Vermögensnutzungen im Kantonsgebiet betroffen werden (vgl. BGE 102 Ia 205 /6 E. 3 mit zahlreichen Hinweisen auf die Praxis). Ein Erlass kann somit nur dann von Personen, die ausserhalb des Kantons wohnen, angefochten werden, wenn er nach Art der geregelten Materie ohne weiteres auch für sie Rechtswirkungen zu entfalten vermag. Trifft dies nicht zu und fällt der Beschwerdeführer bloss unter der Annahme, dass er künftig vielleicht einmal seinen Wohnsitz in den betreffenden Kanton verlegen könnte, als virtueller Normadressat in Betracht, so ist das erforderliche praktische Interesse an der Beschwerdeführung - wie gering die Anforderungen in bezug auf die Anfechtung allgemeinverbindlicher Erlasse auch sein mögen - in der Regel nicht gegeben. Notwendig wäre zumindest, dass eine baldige Wohnsitznahme im Kanton glaubhaft dargetan ist ( BGE 102 Ia 206 ). Sollte der Beschwerdeführer in einem späteren Zeitpunkt tatsächlich noch in die Lage geraten, dass der Erlass auf ihn angewendet würde, stünde im übrigen immer noch die Möglichkeit der vorfrageweisen Anfechtung der Vorschrift im konkreten Anwendungsfall offen. b) Die Beschwerdeführer C. und B. sind als Studenten an der Universität Freiburg nur als Wochenaufenthalter im Kanton Freiburg angemeldet. Der Beschwerdeführer C. hat seinen Wohnsitz in Gränichen/AG, der Beschwerdeführer B. in Erlenbach/ZH. Der angefochtene Erlass wird auf diese beiden Beschwerdeführer, solange sie im Kanton Freiburg reine Wochenaufenthalter bleiben beziehungsweise keine Kinder mit Wohnsitz im Kanton Freiburg haben, keine Anwendung finden. BGE 118 Ia 427 S. 432 Die Beschwerdeführer C. und B. machen geltend, es sei nicht auszuschliessen, dass sie einmal im Kanton Freiburg Wohnsitz nehmen und eine Familie gründen würden; es bestehe daher die Möglichkeit, dass die als verfassungswidrig erachteten Vorschriften künftig einmal auf ihre Kinder angewendet würden. Die bloss vage Möglichkeit einer Wohnsitzverlegung in den Kanton Freiburg für sich allein genügt für die Legitimation zur staatsrechtlichen Beschwerde jedoch nicht. Dass anderseits eine Niederlassung im Kanton Freiburg konkret bevorstehe und sich daraus eine minimale Wahrscheinlichkeit für die Anwendbarkeit der angefochtenen Bestimmungen ergebe, wird weder behauptet noch dargetan. Die Beschwerdeführer C. und B. sind somit zur Anfechtung des freiburgischen Schulzahnpflegegesetzes nicht legitimiert, weshalb insoweit auf die Beschwerde nicht eingetreten werden kann. c) Hingegen wird das Schulzahnpflegegesetz wahrscheinlich dereinst einmal auf die Familie R. Anwendung finden, wohnt doch die Familie in einer freiburgischen Gemeinde, wo die beiden Kinder auch die Primarschule besuchen. Soweit sie in ihren Grundrechten betroffen sind, ist daher die Legitimation des Ehepaars R. und ihrer Kinder gegeben.</w:t>
      </w:r>
    </w:p>
    <w:p>
      <w:r>
        <w:rPr>
          <w:b/>
        </w:rPr>
        <w:t>E. 3</w:t>
      </w:r>
    </w:p>
    <w:p>
      <w:r>
        <w:t>a) Die Beschwerdeführer rügen, die Regelung von Art. 7 Abs. 1 SG, wonach Zahnbehandlungen obligatorisch seien und damit ohne Einwilligung des Patienten oder seines gesetzlichen Vertreters vorgenommen werden könnten, verstosse gegen ihre persönliche Freiheit. Dasselbe gelte für den in Art. 7 Abs. 2 SG eingeführten Meldezwang des Schulzahnarztes über nicht ausgeführte Zahnbehandlungen. Schliesslich gehe die in Art. 11 SG vorgesehene Bussenandrohung bei Widerhandlung gegen die Pflichten gemäss Art. 6 und 7 SG zu weit. Die Beschwerdeführer rufen weiter Art. 8 EMRK an. Sie machen geltend, das Obligatorium zahnerhaltender Behandlungen in Art. 7 Abs. 1 SG sowie die Verpflichtung nach Art. 6 Abs. 4 SG, den Behörden ein zahnärztliches Zeugnis vorlegen zu müssen, um von der obligatorischen Zahnkontrolle befreit zu werden, verstiessen gegen die Elternrechte, wie sie von der Menschenrechtskonvention geschützt würden. Im ersten Fall würden die Eltern in jeglicher Weise an der Ausübung ihrer Rechte gehindert; im zweiten Fall müsse eine schriftliche Erklärung der Eltern genügen. Schliesslich bringen die Beschwerdeführer vor, Art. 7 und 11 SG verstiessen gegen den Grundsatz der derogatorischen Kraft des Bundesrechts gemäss Art. 2 ÜbBest. BV, weil die Gesetzgebung im BGE 118 Ia 427 S. 433 Bereich des Zivilrechts dem Bund vorbehalten sei ( Art. 64 BV ) und das eidgenössische Kindsrecht dazu eine abschliessende Regelung enthalte. Ausserdem dürfe nach Art. 69 BV allein der Bund Massnahmen zur Bekämpfung übertragbarer oder stark verbreiteter oder bösartiger Krankheiten ergreifen, was er mit der Epidemiengesetzgebung getan habe. Weder sei darin von Zahnbeschwerden die Rede, noch gehörten Zahnerkrankungen zu den von Bundes wegen meldepflichtigen Krankheiten. b) Das Bundesgericht überprüft die Verfassungsmässigkeit eines allgemeinverbindlichen Erlasses im Rahmen der abstrakten Normenkontrolle mit freier Kognition. Nach der Praxis ist dabei massgebend, ob der betreffenden Norm nach anerkannten Auslegungsregeln ein Sinn zugemessen werden kann, der sie mit den angerufenen Verfassungsgarantien vereinbar erscheinen lässt. Gleich verhält es sich, wenn mit der Beschwerde Garantien der Europäischen Menschenrechtskonvention angerufen werden (in der amtlichen Sammlung nicht veröffentlichte E. 2 von BGE 115 Ia 234 , publiziert in: ZBl 91/1990, S. 64, sowie in: EuGRZ 1989, S. 372). Das Bundesgericht hebt demnach eine kantonale Norm nur auf, sofern sie sich einer verfassungs- und konventionskonformen Auslegung entzieht, nicht jedoch, wenn sie einer solchen in vertretbarer Weise zugänglich ist ( BGE 116 Ia 380 E. c; BGE 114 Ia 354 E. 2; BGE 113 Ia 131 und 261 E. b; BGE 111 Ia 25 ; BGE 109 Ia 277 und 301, mit Hinweisen). Für die Beurteilung dieser Frage ist die Tragweite des Grundrechtseingriffs sowie die Möglichkeit von Bedeutung, bei einer späteren konkreten Normenkontrolle einen hinreichenden verfassungsrechtlichen Schutz zu erhalten. Weiter ist zu beachten, unter welchen Umständen die betreffenden Bestimmung zur Anwendung gelangen wird. Der Verfassungsrichter hat daher die Möglichkeit einer verfassungskonformen Auslegung nicht nur abstrakt zu untersuchen, sondern auch die Wahrscheinlichkeit verfassungstreuer Anwendung miteinzubeziehen ( BGE 113 Ia 131 ; BGE 111 Ia 25 mit Hinweisen). Dabei dürfen auch die Erklärungen der kantonalen Behörden über die beabsichtigte künftige Anwendung der Vorschrift berücksichtigt werden ( BGE 107 Ia 313 und 317).</w:t>
      </w:r>
    </w:p>
    <w:p>
      <w:r>
        <w:rPr>
          <w:b/>
        </w:rPr>
        <w:t>E. 4</w:t>
      </w:r>
    </w:p>
    <w:p>
      <w:r>
        <w:t>a) Bei der Berufung auf ihre persönliche Freiheit stützen sich die Beschwerdeführer nicht nur auf das entsprechende ungeschriebene verfassungsmässige Recht, sondern auch auf Art. 3 der Verfassung des Kantons Freiburg. Da sie aber nicht darlegen, inwiefern ihnen diese Bestimmung einen weitergehenden Schutz darbietet, braucht darauf nicht näher eingegangen zu werden (vgl. BGE 115 Ia BGE 118 Ia 427 S. 434 246 E. 5a mit Hinweis sowie Art. 90 Abs. 1 lit. b OG und dazu bestehende Rechtsprechung, insbesondere BGE 110 Ia 3 ). b) Nach der bundesgerichtlichen Rechtsprechung schützt das ungeschriebene Verfassungsrecht der persönlichen Freiheit nebst der Bewegungsfreiheit und der körperlichen und geistigen Integrität alle Freiheiten, die elementare Erscheinungen der Persönlichkeitsentfaltung darstellen. Indessen rechtfertigt nicht jeder beliebige Eingriff in den persönlichen Bereich des Bürgers die Berufung auf die persönliche Freiheit; insbesondere hat dieses Grundrecht nicht die Funktion einer allgemeinen Handlungsfreiheit, auf die sich der einzelne gegenüber jedem staatlichen Akt, der sich auf seine persönliche Lebensgestaltung auswirkt, berufen kann ( BGE 117 Ia 30 E. 5a; BGE 115 Ia 246 E. 5a mit Hinweisen). Zum Schutzbereich der persönlichen Freiheit gehört namentlich das Recht auf physische und psychische Integrität. Ein Eingriff in dieses Recht setzt nicht eine eigentliche Schädigung oder die Verursachung von Schmerzen voraus (ZBl 92/1991, S. 26 f. E. 2 betreffend Trinkwasserfluoridierung; BGE 104 Ia 486 E. 4a betreffend obligatorische Röntgenuntersuchung im Hinblick auf die Bekämpfung der Tuberkulose; BGE 99 Ia 749 betreffend obligatorische Schutzimpfung gegen Diphtherie). Auch wenn medizinische Behandlungen gerade die Wiederherstellung der physischen und psychischen Unversehrtheit bezwecken, liegt im Therapieakt selbst ein Eingriff in die persönliche Freiheit des Patienten (vgl. BGE 114 Ia 357 E. 5; BGE 99 Ia 749 E. 2). Dasselbe gilt auch für zahnmedizinische Behandlungen. Nicht zu beurteilen ist im vorliegenden Fall, ob bereits eine zahnärztliche Untersuchungshandlung einen Eingriff in die persönliche Freiheit darstellt - das Bundesgericht hat dies immerhin im vergleichbaren Fall der obligatorischen Tuberkuloseuntersuchung bejaht ( BGE 104 Ia 486 E. 4a) -, fechten doch die Beschwerdeführer die Kontrollpflicht als solche (vgl. Art. 6 Abs. 3 SG) nicht an. Dem Schutz der persönlichen Freiheit unterliegt ferner das Recht der Patienten, über einen medizinischen Eingriff umfassend aufgeklärt zu werden und selber frei darüber entscheiden zu können, ob sie sich einer Behandlung unterziehen wollen oder nicht. Über dieses Recht verfügen auch handlungsunfähige Patienten, sofern sie in bezug auf die vorzunehmenden Handlungen urteilsfähig sind ( BGE 114 Ia 358 ff.). Fehlt es an der Urteilsfähigkeit oder ist diese reduziert, sind die Rechte des Betroffenen durch seinen gesetzlichen Vertreter, dem eine entsprechende Fürsorgepflicht obliegt, wahrzunehmen. BGE 118 Ia 427 S. 435 Dabei ist allerdings nur die persönliche Freiheit des Patienten und nicht auch diejenige des gesetzlichen Vertreters angesprochen. Hingegen fragt sich, ob sich namentlich die Eltern allenfalls auf Art. 8 EMRK berufen können, wie die Beschwerdeführer geltend machen. c) Gemäss Art. 8 Ziff. 1 EMRK hat jedermann Anspruch auf Achtung seines Privat- und Familienlebens, seiner Wohnung und seines Briefverkehrs. Die Beschwerdeführer berufen sich nur am Rande auf den Schutzbereich der Achtung des Privatlebens. Aus der Sicht der Patienten, das heisst im vorliegenden Fall der Kinder, erschiene eine weitergehende Berufung auf das Privatleben nicht von vorneherein als unzulässig (vgl. LUZIUS WILDHABER/STEPHAN BREITENMOSER, Internationaler Kommentar zur Europäischen Menschenrechtskonvention, Rz. 64 zu Art. 8 EMRK ). Im vorliegenden Zusammenhang kann dies jedoch offenbleiben. Die Beschwerdeführer konzentrieren sich nämlich auf den Gesichtswinkel der Eltern und erachten deren Anspruch auf Achtung des Familienlebens als verletzt. Zum Familienleben gehört unter anderem die Ausübung elterlicher Rechte. Danach sind die Eltern für die Sorge, Pflege und Erziehung der Kinder (ACHIM BRÖTEL, Der Anspruch auf Achtung des Familienlebens, Baden-Baden 1991, S. 102 ff.; MARTINA PALM-RISSE, Der völkerrechtliche Schutz von Ehe und Familie, Berlin 1990, S. 263 ff.) und somit auch für den Entscheid über medizinische Behandlungen vorrangig zuständig (LUZIUS WILDHABER, Internationaler Kommentar zur Europäischen Menschenrechtskonvention, Rz. 352 zu Art. 8 EMRK , nennt als Beispiel den Entscheid über eine Hospitalisierung). Dies schliesst allerdings weder eine staatliche Familiengesetzgebung noch Regelungen über einzelne Aspekte der Ausbildung, Betreuung und Pflege der Kinder aus. Nicht immer eindeutig ist, wieweit es dabei um die Eingrenzung des Schutzbereichs von Art. 8 Ziff. 1 EMRK oder bereits um einen Eingriff in dieses Grundrecht geht (vgl. PALM-RISSE, a.a.O., S. 266 ff.; WILDHABER/BREITENMOSER, a.a.O., Rz. 3 und 6 ff. zu Art. 8 EMRK ). Bei der obligatorischen Anordnung von Untersuchungen und Behandlungen ist der Eingriffscharakter allerdings eher anzunehmen (so unter dem Gesichtspunkt der Achtung des Privatlebens auch WILDHABER/BREITENMOSER, a.a.O., Rz. 64 zu Art. 8 EMRK ). Selbst in diesem Fall ist eine staatliche Regelung aber unter der Voraussetzung zulässig, dass sie die Anforderungen von Art. 8 Ziff. 2 EMRK erfüllt. BGE 118 Ia 427 S. 436</w:t>
      </w:r>
    </w:p>
    <w:p>
      <w:r>
        <w:rPr>
          <w:b/>
        </w:rPr>
        <w:t>E. 5</w:t>
      </w:r>
    </w:p>
    <w:p>
      <w:r>
        <w:t>a) Sowohl das Grundrecht der persönlichen Freiheit als auch der Anspruch auf Achtung des Familienlebens gelten nicht absolut. Gemäss der Rechtsprechung sind Einschränkungen in die persönliche Freiheit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115 Ia 247 E. b; BGE 114 Ia 357 E. 5; BGE 113 Ia 327 f. E. 4; BGE 112 Ia 249 E. 3). Nach Art. 8 Ziff. 2 EMRK ist ein Eingriff einer öffentlichen Behörde in die Ausübung des Grundrechts auf Achtung des Familienlebens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b) Vorweg ist zu prüfen, ob der angefochtene Erlass in den Kerngehalt der persönlichen Freiheit oder des Grundrechts auf Achtung des Familienlebens eingreift. Dabei ist zu beachten, dass es weder das Ziel der Zwangsbehandlung ist, die Patienten in irgendeiner Weise zu schädigen oder - zum Beispiel zu Versuchszwecken - zu missbrauchen, noch die Eltern ihrer ureigenen Elternrechte zu berauben. Vielmehr geht es darum, die Kinder vor dem Zerfall des Gebisses und den damit verbundenen Leiden zu bewahren, was im Interesse des Kindes auch dann gewährleistet sein soll, wenn die Eltern die zahnmedizinische Versorgung ihrer Kinder vernachlässigen. Ist das Gesetz in seiner Zielsetzung und Wirkung auf diesen Gesichtspunkt beschränkt, liegt ein Eingriff in den Kerngehalt der fraglichen Grundrechte nicht vor. c) Soweit die Beschwerdeführer bestreiten sollten, dass die angefochtenen Bestimmungen auf einer genügenden gesetzlichen Grundlage beruhten, verkennen sie, dass damit diese Grundlage gerade geschaffen werden soll; dass die vorgesehene Norm in ihrem Gehalt zu wenig bestimmt sei, machen sie zu Recht nicht geltend. Soweit sie rügen, der Kanton habe keine Kompetenz zur Einführung zahnmedizinischer Zwangsbehandlungen, weil die Regelung der Bekämpfung allgemeingefährdender Krankheiten dem Bund vorbehalten sei und dieser in der Epidemiengesetzgebung für Zahnbeschwerden keine Zwangsmassnahmen vorsehe, betrifft dies nicht die Frage der BGE 118 Ia 427 S. 437 gesetzlichen Grundlage, sondern ist unter dem Gesichtspunkt der derogatorischen Kraft des Bundesrechts zu würdigen (vgl. hinten E. 9a und c).</w:t>
      </w:r>
    </w:p>
    <w:p>
      <w:r>
        <w:rPr>
          <w:b/>
        </w:rPr>
        <w:t>E. 6</w:t>
      </w:r>
    </w:p>
    <w:p>
      <w:r>
        <w:t>a) Welche Beschränkungen der fraglichen Grundrechte unter dem Gesichtspunkt des öffentlichen Interesses beziehungsweise des Verhältnismässigkeitsprinzips statthaft sind, ist mit Rücksicht auf die dem Wandel unterworfene ethische Wertordnung und in Anbetracht der sich verändernden Sozialverhältnisse zu beurteilen ( BGE 115 Ia 248 E. b; BGE 97 I 50 ). b) Das öffentliche Interesse an der Bekämpfung von Krankheiten verfolgt den Zweck der Verbesserung und des Schutzes der Gesundheit der Allgemeinheit ("Volksgesundheit"). Art. 8 Ziff. 2 EMRK behält sogar ausdrücklich staatliche Massnahmen zum Schutze der Gesundheit vor. Dieses Interesse zielt darauf ab, die physische und psychische Gesundheit unbestimmt vieler - im Idealfall aller - vor Fremd- und unter Umständen sogar vor Selbstschädigung zu bewahren und damit zur Verbesserung der Durchschnittsgesundheit der Bevölkerung beizutragen (MARKUS MÜLLER, Zwangsmassnahmen als Instrument der Krankheitsbekämpfung, Basel 1992, S. 168 f.). Dazu dient sowohl die Prävention vor Erkrankungen als auch die Verhinderung der Verbreitung wie ferner die Behandlung bereits aufgetretener Krankheiten. Nicht einfach fällt dabei die Abgrenzung der öffentlichen von den privaten Interessen. Die Gewährleistung seiner Gesundheit steht zunächst im Interesse des einzelnen selbst. Nötig ist aber eine ganzheitliche Sicht. So ist auch die Allgemeinheit an einem guten individuellen Gesundheitszustand aller interessiert. Dies trifft namentlich dort zu, wo eine Fremdgefährdung besteht, also in erster Linie bei übertragbaren gefährlichen Krankheiten. Das Bundesgericht hatte denn auch das öffentliche Interesse an Zwangsmassnahmen zur Bekämpfung von Krankheiten bisher regelmässig im Zusammenhang mit übertragbaren Krankheiten zu beurteilen (namentlich Diphtherie und Tuberkulose). In solche Fällen besteht klarerweise ein erhebliches öffentliches Interesse am Schutz des gesunden Bevölkerungsteils vor Ansteckung ( BGE 99 Ia 751 f. E. b; vgl. auch WILDHABER/BREITENMOSER, a.a.O., Rz. 637 zu Art. 8 EMRK ). Allerdings kommt es nicht allein auf die Ansteckungsgefahr an, denn eine Fremdgefährdung kann etwa auch vorliegen, wenn der Betroffene wegen seiner Krankheit in einen aggressiven Zustand verfällt und damit in seinem Verhalten für Drittpersonen gefährlich wird. BGE 118 Ia 427 S. 438 Das öffentliche Interesse an der Gesundheitspolizei besteht aber nicht nur im Schutz Dritter. Vielmehr hat jeder einzelne schon mit Blick auf die sozialen Kosten ein Interesse an der unversehrten Gesundheit möglichst vieler Mitbürger. Das Gesundheitswesen ist im Rechtsstaat heutiger Prägung denn auch weitgehend - und jedenfalls weit über den Bereich des Schutzes vor Fremdgefährdung hinaus - als öffentliche Aufgabe (service public) konzipiert. Im Zusammenhang mit dem Aufkommen von - grundsätzlich nicht übertragbaren - Zivilisationskrankheiten (wie Herz-Kreislauf- oder Gemütserkrankungen, vgl. MÜLLER, a.a.O., S. 14) wird der Individualschutz immer bedeutsamer. Auch für den Gesundheitsbegriff von Art. 8 Ziff. 2 EMRK gilt, dass er nicht nur die allgemeine Gesundheit, sondern ebenfalls die individuelle Gesundheit des einzelnen erfasst (BRÖTEL, a.a.O., S. 88 f.; WILDHABER/BREITENMOSER, a.a.O., Rz. 632 zu Art. 8 EMRK ). c) Ein Interesse an öffentlicher Gesundheitspflege besteht insbesondere dort, wo der Kranke von seinen Fähigkeiten und Möglichkeiten her limitiert ist, seine eigenen Interessen als wohlinformierter Patient selbst wahrzunehmen. Dies ist nicht nur dann der Fall, wenn teure und aufwendige Installationen notwendig werden, sondern auch, wenn der Kranke wegen mangelnder oder reduzierter Urteils- und Handlungsfähigkeit auf die Unterstützung anderer, namentlich für ihn Fürsorgepflichtiger, angewiesen ist. Bei solchen Konstellationen ist das Angebot öffentlicher Hilfeleistungen beziehungsweise die Gewährleistung der Interessen des Patienten von besonderer Wichtigkeit. In diesem Zusammenhang gilt insbesondere das Kindeswohl als ein öffentliches Interesse, das unter dem Aspekt des Gesundheitsschutzes sowie des Schutzes der Rechte und Freiheiten anderer Eingriffe in die persönliche Freiheit (vgl. BGE 115 Ia 253 ) sowie in das Recht auf Achtung des Familienlebens grundsätzlich zu legitimieren vermag (BRÖTEL, a.a.O., S. 91 ff.; WILDHABER/BREITENMOSER, a.a.O., Rz. 629 ff. zu Art. 8 EMRK ). d) Im vorliegenden Fall geht es um die Bekämpfung und Heilung von Zahnerkrankungen wie insbesondere Karies und Parodontose. Dabei handelt es sich um ein beträchtliches volkshygienisches und volkswirtschaftliches Problem. Eine Heilung ist oftmals gar nicht möglich. Von Karies befallene Zahnteile müssen entfernt werden. Es können auch gefährliche Folgen auftreten, wenn die Erkrankung auf das Zahnmark, die Wurzelhaut oder in Form von Abszessen auf den Kiefer und die umgebenden Weichteile übergreift. Granulome können zum Herd für viele Infektionen werden (vgl. dazu ZBl BGE 118 Ia 427 S. 439 92/1991, S. 30 E. c). Ausserdem können Zahnerkrankungen den Verdauungsapparat beeinträchtigen und so den ganzen Organismus schwächen. Unter diesem Gesichtspunkt besteht für die Bekämpfung von Karies und Parodontose ein gewichtiges öffentliches Interesse (vgl. ZBl 92/1991, S. 30 E. c). Entgegen der Ansicht der Beschwerdeführer kann aufgrund der genannten Zusammenhänge auch das öffentliche Interesse an der Bekämpfung der Kostenexplosion im Gesundheitswesen nicht in Abrede gestellt werden (vgl. dazu ZBl 92/1991, S. 30 E. c; BGE 110 Ia 105 E. d). Zwar ist zu berücksichtigen, dass die hier interessierenden Zahnerkrankungen bei Kindern im Kanton Freiburg im Verlauf der letzten 30 Jahre dank der bereits unternommenen Anstrengungen nachweislich abgenommen haben; dennoch besteht (weiterhin) ein öffentliches Interesse daran, diese Verbesserung im allgemeinen Gesundheitszustand der Bevölkerung nicht wieder zu gefährden beziehungsweise weiter voranzutreiben. Wie der Staatsrat des Kantons Freiburg in seiner Vernehmlassung an das Bundesgericht darlegt, leidet etwa 70% der über 20 Jahre alten Bevölkerung an heilbaren oder unheilbaren Zahn- und Zahnfleischerkrankungen. Eine bereits im Schulalter einsetzende umfassende Zahnpflege erweist sich daher als bedeutsam und von öffentlichem Interesse.</w:t>
      </w:r>
    </w:p>
    <w:p>
      <w:r>
        <w:rPr>
          <w:b/>
        </w:rPr>
        <w:t>E. 7</w:t>
      </w:r>
    </w:p>
    <w:p>
      <w:r>
        <w:t>a) Ein Grundrechtseingriff ist nur zulässig, wenn das öffentliche Interesse daran die entgegenstehenden privaten Interessen überwiegt und der Eingriff zum Schutz des öffentlichen Interesses verhältnismässig, das heisst geeignet, notwendig und zumutbar ist (vgl. BGE 117 Ia 318 E. b mit Hinweisen; ULRICH HÄFELIN/WALTER HALLER, Schweizerisches Bundesstaatsrecht, 2. Aufl., Zürich 1988, Rz. 1141 ff.). b) Im Mittelpunkt der angefochtenen Bestimmungen steht Art. 7 Abs. 1 SG, wonach die Eltern die zahnerhaltenden Behandlungen, die der Schulzahnarzt für nötig erachtet, ausführen lassen müssen. Auch wenn dies im Normalfall kaum zu Schwierigkeiten führen dürfte, da die Eltern in der Regel wohl die vom Schulzahnarzt vorgeschlagenen Behandlungen vornehmen lassen werden, sieht die angefochtene Bestimmung eine eigentliche Behandlungspflicht vor, welche als solche erheblich in die persönliche Freiheit des Kindes sowie in die Rechte der Eltern eingreift. Die Nichtbeachtung der Behandlungspflicht löst denn auch nachteilige Rechtsfolgen aus. Art. 7 Abs. 2 SG gibt dem Schulzahnpflegedienst die Kompetenz, die notwendigen Massnahmen zu beschliessen, wenn festgestellt wird, dass die als nötig erachteten Behandlungen nicht ausgeführt BGE 118 Ia 427 S. 440 werden. Daneben sieht Art. 11 SG eine Busse unter anderem bei Nichtbefolgung der Pflicht nach Art. 7 SG vor. c) Dem Selbstbestimmungsrecht des einzelnen über seine medizinische Versorgung kommt grosses Gewicht zu. Die Zulässigkeit medizinischer Zwangseingriffe setzt daher ein bedeutendes öffentliches Interesse voraus. Da von Zahnerkrankungen grundsätzlich keine Fremdgefährdung ausgeht, verlangen namentlich zahnmedizinische Zwangseingriffe nach einer besonderen Rechtfertigung. Eine solche ist dann zu bejahen, wenn der Betroffene im Hinblick auf seine Zahngesundheit nicht oder nur reduziert urteilsfähig ist, das heisst die Tragweite der Zahnerkrankung beziehungsweise -behandlung nicht in vollem Umfang zu erfassen vermag, und soweit nicht gewährleistet ist, dass der für ihn Verantwortliche seine Fürsorgepflicht vollumfänglich in seinem Interesse ausübt. Vorliegend fällt in diesem Zusammenhang wesentlich ins Gewicht, dass sich das angefochtene Schulzahnpflegegesetz ausschliesslich auf Kinder vom Kindergartenalter an bis zum Abschluss des Schulobligatoriums bezieht (Art. 2 Abs. 1 SG). Ferner bezweckt das Gesetz, dass die anlässlich der Zahnkontrolle festgestellten Zahnerkrankungen auch behoben werden. Insoweit der Zwang zur Vornahme von Zahnbehandlungen in diesem Sinne dem Kindesschutz dient, beruht er grundsätzlich auf überwiegenden öffentlichen Interessen und ist er zur Verfolgung dieser Interessen auch geeignet. Es fragt sich allerdings, ob er auch notwendig und zumutbar ist. d) Bereits der Gesetzeswortlaut beschränkt den Behandlungszwang auf zahnerhaltende und notwendige Massnahmen; anderes wie zum Beispiel die kosmetische Verbesserung der Zahnstellung wird davon nicht erfasst. Nach der angefochtenen Bestimmung obliegt die Beurteilung, ob eine Behandlung nötig ist, dem Schulzahnarzt. Dieser darf die Notwendigkeit einer Zahnbehandlung jedoch nicht extensiv bejahen, sondern muss sie eingehender begründen. Als wesentlicher Grund fällt etwa die Gefahr bleibender Schäden oder erheblicher Schmerzen, welche beim Kind mit einer hohen Wahrscheinlichkeit physisches oder psychisches Leiden hervorrufen würden, in Betracht. Dies dürfte bei eigentlichen Zahnerkrankungen häufig der Fall sein. Umgekehrt sind Gründe zu berücksichtigen, welche einer Behandlung entgegenstehen, zum Beispiel eine besondere Infektionsanfälligkeit bei einem Kinde, die aus einer an sich harmlosen Behandlung eine gefährliche werden lässt (vgl. dazu etwa BGE 116 Ia 123 f. E. 5b). Bei der Behandlung des Milchzahngebisses BGE 118 Ia 427 S. 441 muss ferner den Besonderheiten dieser Zähne Rechnung getragen werden; der ohnehin bevorstehende Ausfall des zu behandelnden Milchzahnes macht unter Umständen aus einer an sich wünschbaren Behandlung eine verzichtbare. Weiter hat der Schulzahnarzt seine Patienten beziehungsweise deren Eltern über die medizinische Sachlage und die vorgesehene Medikation umfassend aufzuklären sowie die Mitsprache über die zu wählende Behandlungsmethode zu gewährleisten (vgl. BGE 114 Ia 358 f. E. 6). Gegen seinen Entscheid steht der Rechtsmittelweg offen (vgl. Art. 12 SG); die Betroffenen verfügen somit über einen umfassenden Rechtsschutz im Anwendungsfall. Entgegen der Ansicht der Beschwerdeführer bräuchte diesfalls nicht unbedingt eine Privatexpertise vorgelegt zu werden, sondern eine allenfalls notwendige zusätzliche Begutachtung könnte - und würde wohl auch - im Rechtsmittelverfahren mit der Möglichkeit oder gar der Notwendigkeit der Kostenübernahme durch den Staat erfolgen. e) Was die zu ergreifenden Zwangsmassnahmen betrifft, bedeutet die Behandlungspflicht als solche noch nicht, dass die Behörden der Schulzahnpflege auch über die Kompetenz verfügen, die tatsächliche Vornahme einer Behandlung zu erzwingen. Der Staatsrat des Kantons Freiburg hält dazu in seiner Vernehmlassung an das Bundesgericht selbst fest: "Wenn das Kind eine Behandlung braucht und diese nicht erhält, wird der ... Vertrauenszahnarzt des Schulzahnpflegedienstes benachrichtigt. Er entscheidet über die Massnahmen, die im Sinne von Artikel 7 Absatz 2 des Gesetzes ergriffen werden sollen: einerseits das Kind und seinen gesetzlichen Vertreter über die Schäden, die durch nicht behandelte Mund- und Zahnerkrankungen entstehen, informieren, und sie von der nötigen Behandlung überzeugen; andererseits, wenn nötig, die Vormundschaftsbehörde beiziehen, damit sie gemäss Artikel 307 ff. ZGB die geeigneten Massnahmen zum Schutz des Kindes treffen kann." Der tatsächliche Zwang zu einer Behandlung erfordert demnach den Einbezug der Vormundschaftsbehörden und richtet sich nach den Bestimmungen des Vormundschaftsrechts. Das heisst auch, dass die dort vorgesehenen Voraussetzungen erfüllt sein müssen. Die Behörden des Kantons Freiburg sind insofern bei der zitierten Aussage des Staatsrates in der Vernehmlassung an das Bundesgericht zu behaften. Die schwerstmögliche Massnahme, die von den Schulzahnpflegebehörden ergriffen werden kann, ist somit die Ausfällung einer Busse nach Art. 11 SG (vgl. dazu E. 8c und 9b). Dies schwächt die in Frage stehende Behandlungspflicht in ihren Wirkungen derart ab, BGE 118 Ia 427 S. 442 dass sie jedenfalls nicht von vorneherein als unzumutbar und unverhältnismässig erscheint. f) Schliesslich garantiert Art. 7 Abs. 1 SG die freie Wahl des Zahnarztes. Die Eltern brauchen für die als nötig befundenen Behandlungen nicht den Schulzahnpflegedienst beizuziehen, sondern können dafür den Zahnarzt frei aussuchen. Art. 10 Abs. 1 SG sieht ausserdem die finanzielle Beteiligung der Gemeinden an den Behandlungskosten vor, wenn eine Familie in wirtschaftlich bescheidenen Verhältnissen lebt. Diese Beitragsleistung ist vom Wortlaut des Gesetzes her nicht daran gebunden, dass die angeordneten Behandlungen beim Schulzahnpflegedienst vorgenommen werden. Weder besteht somit ein Zwang hinsichtlich der Auswahl des Zahnarztes, noch bewirkt die Behandlungspflicht, dass die betroffenen Familien übermässig in ihren finanziellen Verhältnissen belastet werden. g) Infolgedessen können die Bestimmungen über den Behandlungszwang so ausgelegt und gehandhabt werden, dass das vorgesehene Obligatorium verhältnismässig ist und damit weder gegen die Bundesverfassung noch gegen die Menschenrechtskonvention verstösst.</w:t>
      </w:r>
    </w:p>
    <w:p>
      <w:r>
        <w:rPr>
          <w:b/>
        </w:rPr>
        <w:t>E. 8</w:t>
      </w:r>
    </w:p>
    <w:p>
      <w:r>
        <w:t>Die Beschwerdeführer fechten weitere Bestimmungen an, die mit der Behandlungspflicht in Zusammenhang stehen. a) Art. 6 Abs. 4 SG bezieht sich zwar unmittelbar nur auf die Kontrollpflicht. Mittelbar bezweckt die Regelung aber auch die Gewährleistung der notwendigen Zahnbehandlung. Dies ist insofern sachlogisch, als eine Freistellung von der Zahnkontrolle auch eine solche von der - davon abhängigen - Behandlung bedeutet. Es ist daher folgerichtig, dass das Gesetz bereits für die Befreiung von der obligatorischen Zahnkontrolle ein Zeugnis darüber verlangt, dass das Kind die erforderliche Zahnpflege erhielt. Ob dies zutrifft, ist letztlich eine Fachfrage, über welche die Eltern in der Regel gar nicht selbst befinden können. Es ist daher konsequent und notwendig, dass die entsprechende Auskunft von einem Zahnarzt stammen muss. Dabei ist in Kauf zu nehmen, dass ersichtlich wird, bei welchem Zahnarzt das Kind in Behandlung ist beziehungsweise wie oft die Familie den Zahnarzt allenfalls wechselt. Diese Folge ist nicht aussergewöhnlich, sondern ergibt sich überall dort, wo eine Pflicht zur Vorlage ärztlicher Bestätigungen oder Zeugnisse besteht (z.B. in der Sozialversicherung oder bei krankheitsbedingter Arbeitsabsenz eines Angestellten usw.). BGE 118 Ia 427 S. 443 Allerdings darf vom Zeugnis inhaltlich nicht mehr verlangt werden, als dass es über die Gewährleistung der notwendigen Zahnpflege Aufschluss gibt. Im Normalfall dürfte es sich sogar auf die formelle Feststellung beschränken, die nach Schulzahnpflegegesetz erforderliche Zahnpflege sei garantiert. Weitere Auskünfte - insbesondere über die Art der Behandlung - dürfen hingegen nur verlangt werden, wenn dafür besondere Gründe bestehen. b) Auch die in Art. 7 Abs. 2 SG vorgesehene Meldepflicht des Schulzahnarztes steht in engem Zusammenhang mit der Behandlungspflicht und stellt das Korrelat dazu dar. Die Behandlungspflicht bliebe ohne Wirkung, wenn der Schulzahnarzt nicht zur Meldung über nicht ausgeführte Behandlungen berechtigt und verpflichtet wäre. Die angefochtene Bestimmung bildet im übrigen die notwendige gesetzliche Grundlage zur Befreiung des Zahnarztes vom Arztgeheimnis. Aber auch für die Meldepflicht muss gelten, dass sie inhaltlich auf das Notwendige beschränkt ist. c) Schliesslich ist auch die Bussenfolge nach Art. 11 SG Ausfluss der vorgesehenen gesetzlichen Pflichten. Die Androhung einer strafrechtlichen Sanktion bei Nichtbeachtung einer gesetzlichen Pflicht kommt in den verschiedensten Materien vor; unter anderem findet sich eine Bussenfolge in den kantonalen Gesetzgebungen regelmässig im Zusammenhang mit der Schulpflicht. Grundsätzlich ist die vorgesehene Strafdrohung für den vorliegenden Zusammenhang daher nicht aussergewöhnlich. Bei einem Rahmen von Fr. 20.-- bis 1'000.-- ist sie im übrigen auch nicht unverhältnismässig. Zurückhaltung wird sich allenfalls bei der Bestrafung wegen fahrlässiger Tatbegehung aufdrängen, namentlich wenn eine Kontrolle oder Behandlung nur aus Fahrlässigkeit verpasst worden sein sollte. Den Behörden bleibt allerdings unbenommen, es zunächst bei einer Mahnung zu belassen oder nur eine geringfügige Busse - das mögliche Minimum beträgt Fr. 20.-- - auszusprechen. d) Auch die weiteren, nebst dem Behandlungszwang angefochtenen Regelungen verletzen somit die Freiheitsrechte der betroffenen Kinder und Eltern nicht.</w:t>
      </w:r>
    </w:p>
    <w:p>
      <w:r>
        <w:rPr>
          <w:b/>
        </w:rPr>
        <w:t>E. 9</w:t>
      </w:r>
    </w:p>
    <w:p>
      <w:r>
        <w:t>Zu prüfen bleibt schliesslich, ob die angefochtenen Bestimmungen gegen den Vorrang des Bundesrechts verstossen. a) Der Grundsatz der derogatorischen Kraft des Bundesrechts nach Art. 2 ÜbBest. BV besagt, dass die Kantone in Sachgebieten, welche die Bundesgesetzgebung abschliessend geregelt hat, nicht zur Rechtsetzung befugt sind ( BGE 117 Ia 34 E. c; BGE 115 Ia 272 E. 12a mit Hinweis). BGE 118 Ia 427 S. 444 b) Art. 64 BV erteilt dem Bund die Kompetenz zur Gesetzgebung im Bereich des Zivilrechts. Gemäss Art. 301 Abs. 1 ZGB leiten die Eltern im Blick auf das Wohl des Kindes seine Pflege und Erziehung und treffen unter Vorbehalt seiner eigenen Handlungsfähigkeit die nötigen Entscheidungen. Nach Art. 302 Abs. 1 ZGB haben die Eltern das Kind ihren Verhältnissen entsprechend zu erziehen und seine körperliche, geistige und sittliche Entfaltung zu fördern und zu schützen. Diese vom Zivilrecht vorgesehenen Befugnisse der Eltern stehen allerdings in bestimmten Grenzen unter dem Vorbehalt des öffentlichen Rechts ( BGE 117 Ia 34 E. c; CYRIL HEGNAUER, Grundriss des Kindesrechts, Bern 1989, S. 170). Dies gilt namentlich auch für den Bereich der Gesundheitspolizei (URS TSCHÜMPERLIN, Die elterliche Gewalt in bezug auf die Person des Kindes, Freiburg 1989, S. 144; CYRIL HEGNAUER, in Berner Kommentar, Bern 1964, Rz. 25 zu Art. 273 aZGB). In diesem Rahmen sind staatliche, insbesondere gesundheitspolizeilich begründete Massnahmen, die allenfalls in die gesetzlichen Elternrechte eingreifen, vom Bundeszivilrecht her zulässig. Auch die bundesrechtliche Regelung der Kindesschutzmassnahmen schliesst andere, weniger weitgehende staatliche Massnahmen in Bereichen, die wie das Gesundheitswesen als öffentliche Aufgaben konzipiert sind und der staatlichen Kompetenz sowie dem öffentlichen Recht unterstehen, nicht aus. Die Kindesschutzmassnahmen bilden bloss das strengste Mittel, das allenfalls gegenüber den Eltern anzuwenden ist, um die Kindesinteressen zu wahren (vgl. BGE 117 Ia 34 E. c). Auch die im kantonalen Recht enthaltene Möglichkeit der Aussprechung einer Busse steht in diesem Sinne nicht im Gegensatz zum eidgenössischen Kindesrecht, sondern bildet eine Ergänzung zu den im Recht des Kindesschutzes (vgl. Art. 307 ff. ZGB ) vorgesehenen Massnahmen (vgl. auch vorn E. 7e). Das Bundeszivilrecht enthält somit entgegen der Ansicht der Beschwerdeführer im hier fraglichen Bereich keine abschliessende Regelung. c) Nach Art. 69 BV ist der Bund befugt, gesetzliche Bestimmungen zur Bekämpfung übertragbarer oder stark verbreiteter oder bösartiger Krankheiten von Mensch und Tier zu erlassen. Der Bund ist dieser Befugnis unter anderem mit dem Bundesgesetz vom 18. Dezember 1970 über die Bekämpfung übertragbarer Krankheiten des Menschen (Epidemiengesetz, SR 818.101) nachgekommen. Art. 69 BV vermittelt dem Bund jedoch keine ausschliessliche Kompetenz. Die Gesundheitspolizei einschliesslich der Bekämpfung BGE 118 Ia 427 S. 445 der von der Bundeskompetenz nicht erfassten Krankheiten verbleibt in ganz allgemeiner Weise in der Kompetenz der Kantone (MALINVERNI, in Kommentar BV, Art. 69, Rz. 10; MÜLLER, a.a.O., S. 44 f.). Darüber hinaus bleiben die Kantone sogar befugt, ergänzende Regelungen auch im Bereich der von Art. 69 BV erfassten Krankheiten zu treffen, soweit dies der Bund nicht abschliessend getan hat (MALINVERNI, a.a.O., Rz. 25; MÜLLER, a.a.O., S. 46 f.). Auch wenn es als denkbar erscheint, die im vorliegenden Fall in Frage stehenden Zahnerkrankungen, namentlich Karies und Parodontose, unter der Kategorie der stark verbreiteten Krankheiten als von der Bundeskompetenz erfasst zu betrachten (MÜLLER, a.a.O., S. 29, zählt Karies und Parodontose ausdrücklich als Beispiele weit verbreiteter Krankheiten auf), hat der Bund überhaupt keine entsprechenden Bestimmungen erlassen. Auch die in Art. 27 des Epidemiengesetzes vorgesehene und in der Verordnung vom 21. September 1987 über die Meldung übertragbarer Krankheiten des Menschen (Melde-Verordnung, SR 818.141.1) konkretisierte Meldepflicht stellt keine abschliessende, den Kantonen keinen Spielraum mehr belassende Regelung dar ohnehin muss dies für nicht übertragbare Krankheiten gelten. Dem Kanton Freiburg bleibt es daher von der bundesstaatlichen Kompetenzordnung im Gesundheitswesen her unbenommen, im Bereich der Zahnpflege selbst zu legiferieren und unter anderem eine Meldepflicht vorzusehen. d) Das angefochtenen Gesetz verstösst somit nicht gegen den Grundsatz der derogatorischen Kraft des Bundesrechts nach Art. 2 ÜbBest. BV.</w:t>
      </w:r>
    </w:p>
    <w:p>
      <w:r>
        <w:rPr>
          <w:b/>
        </w:rPr>
        <w:t>E. 10</w:t>
      </w:r>
    </w:p>
    <w:p>
      <w:r>
        <w:t>Infolgedessen ist die staatsrechtliche Beschwerde im Sinne der Erwägungen (vgl. insbesondere E. 7 und 8 hievor)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